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784"/>
        <w:gridCol w:w="5403"/>
        <w:gridCol w:w="312"/>
      </w:tblGrid>
      <w:tr w:rsidR="007110FE" w14:paraId="00549E76" w14:textId="77777777" w:rsidTr="00B83A08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0422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110FE" w14:paraId="00549E79" w14:textId="77777777" w:rsidTr="00B83A08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B83A08">
        <w:trPr>
          <w:trHeight w:val="6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 w:rsidTr="00B83A08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0422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 w:rsidTr="00B83A08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B83A08">
        <w:trPr>
          <w:trHeight w:val="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B83A08">
        <w:trPr>
          <w:trHeight w:val="34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2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04223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34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0422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B83A08">
        <w:trPr>
          <w:trHeight w:val="34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82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0422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9D7227B" w14:textId="77777777" w:rsidR="007110FE" w:rsidRDefault="000422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00549E91" w14:textId="3D52A392" w:rsidR="0086296B" w:rsidRPr="0086296B" w:rsidRDefault="0086296B" w:rsidP="0086296B">
            <w:pPr>
              <w:tabs>
                <w:tab w:val="left" w:pos="2403"/>
              </w:tabs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ab/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B83A08">
        <w:trPr>
          <w:trHeight w:val="40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B83A08">
        <w:trPr>
          <w:trHeight w:val="510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04223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749E3C03" w:rsidR="007110FE" w:rsidRPr="00DA1CE4" w:rsidRDefault="0004223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A1CE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 </w:t>
            </w:r>
            <w:r w:rsidR="00114DE7" w:rsidRPr="00DA1CE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Jackulíková</w:t>
            </w:r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B83A08">
        <w:trPr>
          <w:trHeight w:val="315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04223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0B183D7E" w:rsidR="007110FE" w:rsidRPr="00DA1CE4" w:rsidRDefault="0004223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DA1CE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 </w:t>
            </w:r>
            <w:r w:rsidR="00114DE7" w:rsidRPr="00DA1CE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Mária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B83A08">
        <w:trPr>
          <w:trHeight w:val="559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04223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045605" w14:textId="77777777" w:rsidR="00573EA5" w:rsidRPr="00573EA5" w:rsidRDefault="00573EA5" w:rsidP="00573EA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73E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doc., Mgr., PhD.</w:t>
            </w:r>
          </w:p>
          <w:p w14:paraId="00549EA2" w14:textId="0B4812C2" w:rsidR="007110FE" w:rsidRPr="00DA1CE4" w:rsidRDefault="007110F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B83A08">
        <w:trPr>
          <w:trHeight w:val="660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04223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04223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53F8E" w14:textId="0735A223" w:rsidR="007110FE" w:rsidRPr="00DA1CE4" w:rsidRDefault="0000000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6A7C07" w:rsidRPr="00DA1CE4">
                <w:rPr>
                  <w:rStyle w:val="Hypertextovprepojenie"/>
                  <w:rFonts w:eastAsia="Times New Roman" w:cstheme="minorHAnsi"/>
                  <w:sz w:val="16"/>
                  <w:szCs w:val="16"/>
                  <w:lang w:eastAsia="sk-SK"/>
                </w:rPr>
                <w:t>https://www.portalvs.sk/regzam/detail/28700</w:t>
              </w:r>
            </w:hyperlink>
          </w:p>
          <w:p w14:paraId="00549EA6" w14:textId="75B028AC" w:rsidR="006A7C07" w:rsidRPr="00DA1CE4" w:rsidRDefault="006A7C0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92A07" w14:paraId="00549EAC" w14:textId="77777777" w:rsidTr="00B83A08">
        <w:trPr>
          <w:trHeight w:val="300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F92A07" w:rsidRDefault="00000000" w:rsidP="00F92A0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92A0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3DCD0911" w:rsidR="00F92A07" w:rsidRPr="00DA1CE4" w:rsidRDefault="00430CA4" w:rsidP="00F92A0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430C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 I., II. stupeň / Nursing I., II. degree</w:t>
            </w:r>
          </w:p>
        </w:tc>
        <w:tc>
          <w:tcPr>
            <w:tcW w:w="312" w:type="dxa"/>
            <w:vAlign w:val="center"/>
          </w:tcPr>
          <w:p w14:paraId="00549EAB" w14:textId="77777777" w:rsidR="00F92A07" w:rsidRDefault="00F92A07" w:rsidP="00F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92A07" w14:paraId="00549EB2" w14:textId="77777777" w:rsidTr="00B83A08">
        <w:trPr>
          <w:trHeight w:val="972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F92A07" w:rsidRDefault="00000000" w:rsidP="00F92A0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92A0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72698A" w14:textId="77777777" w:rsidR="00A13126" w:rsidRDefault="00A13126" w:rsidP="00F92A07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2D5790A6" w14:textId="5E7BB242" w:rsidR="00F92A07" w:rsidRDefault="00F92A07" w:rsidP="00F92A07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 w:rsidRPr="00DA1CE4">
              <w:rPr>
                <w:rFonts w:cstheme="minorHAnsi"/>
                <w:sz w:val="16"/>
                <w:szCs w:val="16"/>
              </w:rPr>
              <w:t xml:space="preserve">Odborný výstup / Professional </w:t>
            </w:r>
            <w:r w:rsidRPr="00DA1CE4">
              <w:rPr>
                <w:rFonts w:cstheme="minorHAnsi"/>
                <w:bCs/>
                <w:sz w:val="16"/>
              </w:rPr>
              <w:t>output</w:t>
            </w:r>
          </w:p>
          <w:p w14:paraId="00549EB0" w14:textId="77450180" w:rsidR="00F92A07" w:rsidRPr="00DA1CE4" w:rsidRDefault="00F92A07" w:rsidP="00F92A07">
            <w:pPr>
              <w:pStyle w:val="Normlny1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B1" w14:textId="77777777" w:rsidR="00F92A07" w:rsidRDefault="00F92A07" w:rsidP="00F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92A07" w14:paraId="00549EB6" w14:textId="77777777" w:rsidTr="00B83A08">
        <w:trPr>
          <w:trHeight w:val="510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F92A07" w:rsidRDefault="00F92A07" w:rsidP="00F92A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6E3F0F" w14:textId="77777777" w:rsidR="00F92A07" w:rsidRDefault="003D0A9F" w:rsidP="00F92A0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DA1CE4"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  <w:p w14:paraId="00549EB4" w14:textId="3022861A" w:rsidR="00202EF2" w:rsidRPr="00DA1CE4" w:rsidRDefault="00202EF2" w:rsidP="00F92A0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>202</w:t>
            </w:r>
            <w:r w:rsidR="00DF6FC9"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12" w:type="dxa"/>
            <w:vAlign w:val="center"/>
          </w:tcPr>
          <w:p w14:paraId="00549EB5" w14:textId="77777777" w:rsidR="00F92A07" w:rsidRDefault="00F92A07" w:rsidP="00F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92A07" w14:paraId="00549EBA" w14:textId="77777777" w:rsidTr="00B83A08">
        <w:trPr>
          <w:trHeight w:val="660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F92A07" w:rsidRDefault="00000000" w:rsidP="00F92A0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F92A07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F92A0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CC381" w14:textId="77777777" w:rsidR="009E343B" w:rsidRDefault="009E343B" w:rsidP="00F92A0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  <w:p w14:paraId="00549EB8" w14:textId="4771499E" w:rsidR="00F92A07" w:rsidRPr="00DA1CE4" w:rsidRDefault="000819FC" w:rsidP="00F92A0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</w:t>
            </w:r>
            <w:r w:rsidR="009E343B" w:rsidRPr="009E343B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216035</w:t>
            </w:r>
          </w:p>
        </w:tc>
        <w:tc>
          <w:tcPr>
            <w:tcW w:w="312" w:type="dxa"/>
            <w:vAlign w:val="center"/>
          </w:tcPr>
          <w:p w14:paraId="00549EB9" w14:textId="77777777" w:rsidR="00F92A07" w:rsidRDefault="00F92A07" w:rsidP="00F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92A07" w14:paraId="00549EBE" w14:textId="77777777" w:rsidTr="00B83A08">
        <w:trPr>
          <w:trHeight w:val="494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F92A07" w:rsidRDefault="00000000" w:rsidP="00F92A0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F92A0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C" w14:textId="205AE8E6" w:rsidR="00F92A07" w:rsidRPr="00DA1CE4" w:rsidRDefault="00000000" w:rsidP="00F92A0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hyperlink r:id="rId18" w:tgtFrame="_blank" w:history="1">
              <w:r w:rsidR="00936DD7" w:rsidRPr="00936DD7">
                <w:rPr>
                  <w:rStyle w:val="Hypertextovprepojenie"/>
                  <w:rFonts w:eastAsia="Times New Roman" w:cstheme="minorHAnsi"/>
                  <w:sz w:val="16"/>
                  <w:szCs w:val="16"/>
                  <w:lang w:eastAsia="sk-SK"/>
                </w:rPr>
                <w:t>https://app.crepc.sk/?fn=detailBiblioForm&amp;sid=BD296F5EC48344733D9E97FAC5</w:t>
              </w:r>
            </w:hyperlink>
          </w:p>
        </w:tc>
        <w:tc>
          <w:tcPr>
            <w:tcW w:w="312" w:type="dxa"/>
            <w:vAlign w:val="center"/>
          </w:tcPr>
          <w:p w14:paraId="00549EBD" w14:textId="77777777" w:rsidR="00F92A07" w:rsidRDefault="00F92A07" w:rsidP="00F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92A07" w14:paraId="00549EC3" w14:textId="77777777" w:rsidTr="00B83A08">
        <w:trPr>
          <w:trHeight w:val="106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F92A07" w:rsidRDefault="00F92A07" w:rsidP="00F92A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F92A07" w:rsidRDefault="00000000" w:rsidP="00F92A0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F92A0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92A0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697C98" w14:textId="77777777" w:rsidR="00F92A07" w:rsidRDefault="00F92A07" w:rsidP="00F92A07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</w:p>
          <w:p w14:paraId="1D8E7AC7" w14:textId="65B8D8EF" w:rsidR="00144266" w:rsidRDefault="00000000" w:rsidP="00F92A07">
            <w:pPr>
              <w:spacing w:after="0" w:line="240" w:lineRule="auto"/>
              <w:ind w:left="220" w:hangingChars="100" w:hanging="220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hyperlink r:id="rId20" w:history="1">
              <w:r w:rsidR="00144266" w:rsidRPr="00233D8D">
                <w:rPr>
                  <w:rStyle w:val="Hypertextovprepojenie"/>
                  <w:rFonts w:eastAsia="Times New Roman" w:cstheme="minorHAnsi"/>
                  <w:sz w:val="16"/>
                  <w:szCs w:val="16"/>
                  <w:lang w:val="en-US" w:eastAsia="sk-SK"/>
                </w:rPr>
                <w:t>https://pesquisa.bvsalud.org/global-literature-on-novel-coronavirus-2019-ncov/resource/pt/covidwho-1089488</w:t>
              </w:r>
            </w:hyperlink>
          </w:p>
          <w:p w14:paraId="00549EC1" w14:textId="00F01E81" w:rsidR="00144266" w:rsidRPr="00DA1CE4" w:rsidRDefault="00144266" w:rsidP="00F92A07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C2" w14:textId="77777777" w:rsidR="00F92A07" w:rsidRDefault="00F92A07" w:rsidP="00F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92A07" w14:paraId="00549EC8" w14:textId="77777777" w:rsidTr="00B83A08">
        <w:trPr>
          <w:trHeight w:val="15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F92A07" w:rsidRDefault="00F92A07" w:rsidP="00F92A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F92A07" w:rsidRDefault="00F92A07" w:rsidP="00F92A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B9371E" w14:textId="77777777" w:rsidR="00F92A07" w:rsidRDefault="00F92A07" w:rsidP="00F92A0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00549EC6" w14:textId="2DBD2F15" w:rsidR="003E69E0" w:rsidRPr="000353CE" w:rsidRDefault="00CB1B73" w:rsidP="00E5268E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B1B7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Skríning</w:t>
            </w:r>
            <w:r w:rsidR="00F2016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CB1B7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hypertenzi</w:t>
            </w:r>
            <w:r w:rsidR="00F2016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e</w:t>
            </w:r>
            <w:r w:rsidRPr="00CB1B7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u</w:t>
            </w:r>
            <w:r w:rsidR="00F2016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CB1B7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dospelých</w:t>
            </w:r>
            <w:r w:rsidR="00F2016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ľudí</w:t>
            </w:r>
            <w:r w:rsidRPr="00CB1B73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bez domova počas pandémie COVID-19 </w:t>
            </w:r>
            <w:r w:rsidR="00F2016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Screening</w:t>
            </w:r>
            <w:proofErr w:type="spellEnd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hypertension</w:t>
            </w:r>
            <w:proofErr w:type="spellEnd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sheltered</w:t>
            </w:r>
            <w:proofErr w:type="spellEnd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adults</w:t>
            </w:r>
            <w:proofErr w:type="spellEnd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COVID-19 </w:t>
            </w:r>
            <w:proofErr w:type="spellStart"/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pandemic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Kostičová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Michaela [Korešpondenčný autor, UKOLFUSOL, 50%] ;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Rusňáková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Viktória [Autor, 10%] ;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Roussier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Lucia [Autor, 10%] ;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Vachnová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Alena [Autor, KURTESPV, 5%] ; Mrázová, Mariana [Autor,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10%] ;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Gertrúda [Autor,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5%] ; </w:t>
            </w:r>
            <w:r w:rsidR="000353CE" w:rsidRPr="00C817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Jackulíková, Mária [Autor, VSSVA</w:t>
            </w:r>
            <w:r w:rsidR="003605AB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353CE" w:rsidRPr="00C817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rektorat</w:t>
            </w:r>
            <w:proofErr w:type="spellEnd"/>
            <w:r w:rsidR="000353CE" w:rsidRPr="00C817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, 5%</w:t>
            </w:r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] ; Krčméry, Vladimír [Autor, UKOLFMIU, 5%]. – text, tab. – [angličtina]. – [OV 180]. – [článok]. – SIGN-UKO LF USOL/20. – SCO</w:t>
            </w:r>
            <w:r w:rsidR="000353CE" w:rsidRPr="000353CE">
              <w:rPr>
                <w:rFonts w:cstheme="minorHAnsi"/>
                <w:color w:val="333333"/>
                <w:sz w:val="16"/>
                <w:szCs w:val="16"/>
              </w:rPr>
              <w:br/>
            </w:r>
            <w:r w:rsidR="000353CE" w:rsidRPr="000353C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0353CE" w:rsidRPr="000353C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Bratislava (Slovensko) :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Bratislava (Slovensko) : Slovenská zdravotnícka univerzita v Bratislave. – ISSN 0457-4214. – ISSN (zrušené) 0322-9203. – Roč. 69, č. 11 (2020), s. 383-386 [tlačená forma] [online] . – SNIP: 0,27 ; SJR: 0,155 ; </w:t>
            </w:r>
            <w:proofErr w:type="spellStart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CiteScore</w:t>
            </w:r>
            <w:proofErr w:type="spellEnd"/>
            <w:r w:rsidR="000353CE" w:rsidRPr="000353C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: 0,2</w:t>
            </w:r>
          </w:p>
        </w:tc>
        <w:tc>
          <w:tcPr>
            <w:tcW w:w="312" w:type="dxa"/>
            <w:vAlign w:val="center"/>
          </w:tcPr>
          <w:p w14:paraId="00549EC7" w14:textId="77777777" w:rsidR="00F92A07" w:rsidRDefault="00F92A07" w:rsidP="00F92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E" w14:textId="77777777" w:rsidTr="00B83A08">
        <w:trPr>
          <w:trHeight w:val="129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2E2BB8BF" w:rsidR="00DC4B73" w:rsidRDefault="00E77555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br w:type="page"/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EE8E17" w14:textId="77777777" w:rsidR="004D6031" w:rsidRDefault="004D6031" w:rsidP="00DC4B73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  <w:p w14:paraId="00549ECC" w14:textId="2D8175DF" w:rsidR="00DC4B73" w:rsidRPr="00160461" w:rsidRDefault="00160461" w:rsidP="00564881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en-US" w:eastAsia="sk-SK"/>
              </w:rPr>
              <w:t>Článok</w:t>
            </w:r>
            <w:proofErr w:type="spellEnd"/>
            <w:r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en-US" w:eastAsia="sk-SK"/>
              </w:rPr>
              <w:t xml:space="preserve"> /Arti</w:t>
            </w:r>
            <w:r w:rsidR="0025756C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val="en-US" w:eastAsia="sk-SK"/>
              </w:rPr>
              <w:t>cle</w:t>
            </w:r>
          </w:p>
        </w:tc>
        <w:tc>
          <w:tcPr>
            <w:tcW w:w="312" w:type="dxa"/>
            <w:vAlign w:val="center"/>
          </w:tcPr>
          <w:p w14:paraId="00549ECD" w14:textId="77777777" w:rsidR="00DC4B73" w:rsidRPr="00DA1CE4" w:rsidRDefault="00DC4B73" w:rsidP="00DC4B7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DC4B73" w14:paraId="00549ED3" w14:textId="77777777" w:rsidTr="00B83A08">
        <w:trPr>
          <w:trHeight w:val="111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F0284B" w14:textId="77777777" w:rsidR="009B3A0F" w:rsidRDefault="009B3A0F" w:rsidP="00103D99">
            <w:pPr>
              <w:tabs>
                <w:tab w:val="left" w:pos="5969"/>
              </w:tabs>
              <w:spacing w:after="0" w:line="240" w:lineRule="auto"/>
              <w:rPr>
                <w:rFonts w:cstheme="minorHAnsi"/>
                <w:sz w:val="16"/>
                <w:szCs w:val="16"/>
                <w:lang w:eastAsia="sk-SK"/>
              </w:rPr>
            </w:pPr>
          </w:p>
          <w:p w14:paraId="67284F96" w14:textId="74D381D8" w:rsidR="00057300" w:rsidRDefault="00000000" w:rsidP="00103D99">
            <w:pPr>
              <w:tabs>
                <w:tab w:val="left" w:pos="5969"/>
              </w:tabs>
              <w:spacing w:after="0" w:line="240" w:lineRule="auto"/>
              <w:rPr>
                <w:rFonts w:cstheme="minorHAnsi"/>
                <w:sz w:val="16"/>
                <w:szCs w:val="16"/>
                <w:lang w:eastAsia="sk-SK"/>
              </w:rPr>
            </w:pPr>
            <w:hyperlink r:id="rId22" w:history="1">
              <w:r w:rsidR="00057300" w:rsidRPr="00233D8D">
                <w:rPr>
                  <w:rStyle w:val="Hypertextovprepojenie"/>
                  <w:rFonts w:cstheme="minorHAnsi"/>
                  <w:sz w:val="16"/>
                  <w:szCs w:val="16"/>
                  <w:lang w:eastAsia="sk-SK"/>
                </w:rPr>
                <w:t>https://www6.lekarsky.herba.sk/2020/285-lekarsky-obzor-11-2020/982-lekarsky-obzor-11-2020-obsah-lek-obz-11-2020-content</w:t>
              </w:r>
            </w:hyperlink>
          </w:p>
          <w:p w14:paraId="00549ED1" w14:textId="51668D0B" w:rsidR="00057300" w:rsidRPr="00B83A08" w:rsidRDefault="00057300" w:rsidP="00103D99">
            <w:pPr>
              <w:tabs>
                <w:tab w:val="left" w:pos="5969"/>
              </w:tabs>
              <w:spacing w:after="0" w:line="240" w:lineRule="auto"/>
              <w:rPr>
                <w:rFonts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D2" w14:textId="77777777" w:rsidR="00DC4B73" w:rsidRPr="00DA1CE4" w:rsidRDefault="00DC4B73" w:rsidP="00DC4B7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DC4B73" w14:paraId="00549ED9" w14:textId="77777777" w:rsidTr="00B83A08">
        <w:trPr>
          <w:trHeight w:val="76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7" w14:textId="14D35FC3" w:rsidR="00DC4B73" w:rsidRPr="00DA1CE4" w:rsidRDefault="00E933B6" w:rsidP="00DC4B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 w:rsidRPr="00DA1CE4">
              <w:rPr>
                <w:rFonts w:cstheme="minorHAnsi"/>
                <w:color w:val="000000"/>
                <w:sz w:val="16"/>
                <w:szCs w:val="16"/>
                <w:lang w:val="en-US"/>
              </w:rPr>
              <w:t>P</w:t>
            </w:r>
            <w:r w:rsidR="00DC4B73" w:rsidRPr="00DA1CE4">
              <w:rPr>
                <w:rFonts w:cstheme="minorHAnsi"/>
                <w:color w:val="000000"/>
                <w:sz w:val="16"/>
                <w:szCs w:val="16"/>
                <w:lang w:val="en-US"/>
              </w:rPr>
              <w:t>odiel</w:t>
            </w:r>
            <w:proofErr w:type="spellEnd"/>
            <w:r w:rsidR="00DC4B73" w:rsidRPr="00DA1CE4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C4B73" w:rsidRPr="00DA1CE4">
              <w:rPr>
                <w:rFonts w:cstheme="minorHAns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="00E10036" w:rsidRPr="00DA1CE4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: Jackulíková </w:t>
            </w:r>
            <w:r w:rsidR="00B4461E">
              <w:rPr>
                <w:rFonts w:cstheme="minorHAnsi"/>
                <w:color w:val="000000"/>
                <w:sz w:val="16"/>
                <w:szCs w:val="16"/>
                <w:lang w:val="en-US"/>
              </w:rPr>
              <w:t>5</w:t>
            </w:r>
            <w:r w:rsidR="00A9327C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DC4B73" w:rsidRPr="00DA1CE4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% / </w:t>
            </w:r>
            <w:r w:rsidR="00DC4B73" w:rsidRPr="00DA1CE4">
              <w:rPr>
                <w:rFonts w:cs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DC4B73" w:rsidRPr="00DA1CE4">
              <w:rPr>
                <w:rFonts w:cs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E10036" w:rsidRPr="00DA1CE4">
              <w:rPr>
                <w:rFonts w:cstheme="minorHAnsi"/>
                <w:color w:val="202124"/>
                <w:sz w:val="16"/>
                <w:szCs w:val="16"/>
                <w:shd w:val="clear" w:color="auto" w:fill="F8F9FA"/>
              </w:rPr>
              <w:t xml:space="preserve">Jackulíková </w:t>
            </w:r>
            <w:r w:rsidR="00B4461E">
              <w:rPr>
                <w:rFonts w:cstheme="minorHAnsi"/>
                <w:color w:val="202124"/>
                <w:sz w:val="16"/>
                <w:szCs w:val="16"/>
                <w:shd w:val="clear" w:color="auto" w:fill="F8F9FA"/>
              </w:rPr>
              <w:t>5</w:t>
            </w:r>
            <w:r w:rsidR="00A9327C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A9327C" w:rsidRPr="00DA1CE4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% </w:t>
            </w:r>
          </w:p>
        </w:tc>
        <w:tc>
          <w:tcPr>
            <w:tcW w:w="312" w:type="dxa"/>
            <w:vAlign w:val="center"/>
          </w:tcPr>
          <w:p w14:paraId="00549ED8" w14:textId="77777777" w:rsidR="00DC4B73" w:rsidRPr="00DA1CE4" w:rsidRDefault="00DC4B73" w:rsidP="00DC4B7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DC4B73" w14:paraId="00549EE0" w14:textId="77777777" w:rsidTr="00B83A08">
        <w:trPr>
          <w:trHeight w:val="231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8FE075" w14:textId="77777777" w:rsidR="00A13126" w:rsidRDefault="00A13126" w:rsidP="00ED1EA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  <w:p w14:paraId="4A3A11B5" w14:textId="225E710E" w:rsidR="00ED1EA2" w:rsidRPr="00DA1CE4" w:rsidRDefault="00B4461E" w:rsidP="00ED1EA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446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Komunita ľudí bez domova je zraniteľnou skupinou, počas krízových situácií ťažko kontrolova</w:t>
            </w:r>
            <w:r w:rsidR="00F20161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teľnou</w:t>
            </w:r>
            <w:r w:rsidRPr="00B446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 preto ešte viac ohrozenou. Nekontrolovaná hypertenzia je jedným z hlavných rizikových faktorov invalidity a predčasnej úmrtnosti u bezdomovcov. Cieľom štúdie bol skríning hypertenzie a skúmanie faktorov spojených s nekontrolovanou hypertenziou u chránených dospelých bezdomovcov počas pandémie COVID-19.</w:t>
            </w:r>
          </w:p>
          <w:p w14:paraId="00549EDE" w14:textId="57768754" w:rsidR="00DC4B73" w:rsidRPr="00DA1CE4" w:rsidRDefault="00DC4B73" w:rsidP="00C450F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DF" w14:textId="77777777" w:rsidR="00DC4B73" w:rsidRPr="00DA1CE4" w:rsidRDefault="00DC4B73" w:rsidP="00DC4B7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DC4B73" w14:paraId="00549EE5" w14:textId="77777777" w:rsidTr="00B83A08">
        <w:trPr>
          <w:trHeight w:val="915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4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3" w14:textId="355777A5" w:rsidR="00DC4B73" w:rsidRPr="00DA1CE4" w:rsidRDefault="00081060" w:rsidP="00832A95">
            <w:pPr>
              <w:spacing w:after="0" w:line="240" w:lineRule="auto"/>
              <w:rPr>
                <w:rFonts w:eastAsia="SimSun" w:cstheme="minorHAnsi"/>
                <w:sz w:val="16"/>
                <w:szCs w:val="16"/>
                <w:lang w:eastAsia="sk-SK"/>
              </w:rPr>
            </w:pPr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br/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homeless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community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represents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vulnerable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group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that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is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difficult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manage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crisis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situations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therefore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is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even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more at risk.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Uncontrolled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hypertension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is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one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main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risk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factors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disability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premature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mortality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among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homeless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aim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was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screen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hypertension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investigate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factors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associated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with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uncontrolled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hypertension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among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homeless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adults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sheltered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environments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during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pandemic</w:t>
            </w:r>
            <w:proofErr w:type="spellEnd"/>
            <w:r w:rsidRPr="00081060">
              <w:rPr>
                <w:rFonts w:eastAsia="SimSun" w:cstheme="minorHAns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0549EE4" w14:textId="77777777" w:rsidR="00DC4B73" w:rsidRPr="00DA1CE4" w:rsidRDefault="00DC4B73" w:rsidP="00DC4B7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DC4B73" w14:paraId="00549EEE" w14:textId="77777777" w:rsidTr="00B83A08">
        <w:trPr>
          <w:trHeight w:val="810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C" w14:textId="48EBA596" w:rsidR="007E2B31" w:rsidRPr="00DA1CE4" w:rsidRDefault="007E2B31" w:rsidP="0099416F">
            <w:pPr>
              <w:pStyle w:val="Odsekzoznamu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D" w14:textId="77777777" w:rsidR="00DC4B73" w:rsidRPr="00DA1CE4" w:rsidRDefault="00DC4B73" w:rsidP="00DC4B7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DC4B73" w14:paraId="00549EF2" w14:textId="77777777" w:rsidTr="00B83A08">
        <w:trPr>
          <w:trHeight w:val="1170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2FFFB1" w14:textId="77777777" w:rsidR="00DC4B73" w:rsidRDefault="00DC4B73" w:rsidP="001F4B09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0549EF0" w14:textId="12A68B1B" w:rsidR="001F4B09" w:rsidRPr="001F4B09" w:rsidRDefault="001F4B09" w:rsidP="001F4B09">
            <w:pPr>
              <w:jc w:val="both"/>
              <w:rPr>
                <w:lang w:eastAsia="sk-SK"/>
              </w:rPr>
            </w:pPr>
            <w:r w:rsidRPr="001F4B09">
              <w:rPr>
                <w:rFonts w:cstheme="minorHAnsi"/>
                <w:color w:val="000000"/>
                <w:sz w:val="16"/>
                <w:szCs w:val="16"/>
              </w:rPr>
              <w:t xml:space="preserve">Komunitné ošetrovateľstvo v kontexte zdravia ľudí bez domova sa zaoberá problematikou na teoretickej úrovni. Prax ale poukazuje na nerovnosť v zdraví u ľudí bez domova, u ktorých je zdravie ohrozené z viacerých významných dôvodov. Veľmi často sú samotné zdravotné problémy hlavnou príčinou straty domova. </w:t>
            </w:r>
            <w:proofErr w:type="spellStart"/>
            <w:r w:rsidRPr="001F4B09">
              <w:rPr>
                <w:rFonts w:cstheme="minorHAnsi"/>
                <w:color w:val="000000"/>
                <w:sz w:val="16"/>
                <w:szCs w:val="16"/>
              </w:rPr>
              <w:t>Bezdomovectvo</w:t>
            </w:r>
            <w:proofErr w:type="spellEnd"/>
            <w:r w:rsidRPr="001F4B09">
              <w:rPr>
                <w:rFonts w:cstheme="minorHAnsi"/>
                <w:color w:val="000000"/>
                <w:sz w:val="16"/>
                <w:szCs w:val="16"/>
              </w:rPr>
              <w:t xml:space="preserve"> následne urýchľuje zhoršovanie zdravotného stavu, čo komplikuje návrat do pracovného procesu a do dôstojného obytného prostredia. </w:t>
            </w:r>
            <w:proofErr w:type="spellStart"/>
            <w:r w:rsidRPr="001F4B09">
              <w:rPr>
                <w:rFonts w:cstheme="minorHAnsi"/>
                <w:color w:val="000000"/>
                <w:sz w:val="16"/>
                <w:szCs w:val="16"/>
              </w:rPr>
              <w:t>Bezdomovectvo</w:t>
            </w:r>
            <w:proofErr w:type="spellEnd"/>
            <w:r w:rsidRPr="001F4B09">
              <w:rPr>
                <w:rFonts w:cstheme="minorHAnsi"/>
                <w:color w:val="000000"/>
                <w:sz w:val="16"/>
                <w:szCs w:val="16"/>
              </w:rPr>
              <w:t xml:space="preserve"> takmer automaticky spôsobuje bariéry v dostupnosti zdravotnej starostlivosti na základe dlhov na zdravotnom poistení, chudoby, nedostatočnej orientácie v systéme služieb, stigmatizácie a ponižovaniu.</w:t>
            </w:r>
            <w:r w:rsidRPr="001F4B09">
              <w:rPr>
                <w:rFonts w:cstheme="minorHAnsi"/>
              </w:rPr>
              <w:t xml:space="preserve"> </w:t>
            </w:r>
            <w:r w:rsidRPr="001F4B09">
              <w:rPr>
                <w:rFonts w:cstheme="minorHAnsi"/>
                <w:color w:val="000000"/>
                <w:sz w:val="16"/>
                <w:szCs w:val="16"/>
              </w:rPr>
              <w:t xml:space="preserve">Pandémia COVID 19 zvýraznila existujúce štrukturálne nerovnosti v spoločnosti a prístup k službám v období krízy. Skupiny obyvateľstva žijúce na okraji spoločnosti sú, naďalej vytláčané z verejného záujmu, ale za to sú stredobodom záujmu MVO. Zdravie ľudí bez domova je aj v záujme VŠZ a SP sv. Alžbety.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context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homeless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addresses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theoretical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aspect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Practice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highlights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inequalities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among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homeless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individuals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stemming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multiple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significant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factors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. Health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issues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often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serve as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primary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cause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homelessness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Subsequently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homelessness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accelerates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deterioration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complicating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return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employment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dignified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living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conditions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Homelessness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automatically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creates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barriers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accessing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due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insurance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debts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poverty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inadequate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navigation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service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systems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stigmatization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humiliation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COVID-19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pandemic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has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underscored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existing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structural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inequalities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in society and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access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services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during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times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crisis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Marginalized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population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groups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continue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pushed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sidelines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interest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but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central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focus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non-governmental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organizations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NGOs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).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homeless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individuals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also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interest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University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Health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Sciences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1F4B09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of St. Elizabeth</w:t>
            </w:r>
          </w:p>
        </w:tc>
        <w:tc>
          <w:tcPr>
            <w:tcW w:w="312" w:type="dxa"/>
            <w:vAlign w:val="center"/>
          </w:tcPr>
          <w:p w14:paraId="00549EF1" w14:textId="77777777" w:rsidR="00DC4B73" w:rsidRPr="00DA1CE4" w:rsidRDefault="00DC4B73" w:rsidP="00DC4B7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DC4B73" w14:paraId="00549EF6" w14:textId="77777777" w:rsidTr="00B83A08">
        <w:trPr>
          <w:trHeight w:val="1290"/>
        </w:trPr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DC4B73" w:rsidRPr="001F4B09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1F4B0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1F4B09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AE76A5" w14:textId="77777777" w:rsidR="00B20B1E" w:rsidRPr="001F4B09" w:rsidRDefault="00B20B1E" w:rsidP="001F4B09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</w:pPr>
          </w:p>
          <w:p w14:paraId="00549EF4" w14:textId="34242F7A" w:rsidR="001F4B09" w:rsidRPr="001F4B09" w:rsidRDefault="00AC6007" w:rsidP="001F4B09">
            <w:pPr>
              <w:jc w:val="both"/>
              <w:rPr>
                <w:i/>
                <w:iCs/>
                <w:sz w:val="16"/>
                <w:szCs w:val="16"/>
                <w:lang w:eastAsia="sk-SK"/>
              </w:rPr>
            </w:pPr>
            <w:r w:rsidRPr="0025756C">
              <w:rPr>
                <w:sz w:val="16"/>
                <w:szCs w:val="16"/>
                <w:lang w:eastAsia="sk-SK"/>
              </w:rPr>
              <w:t>V</w:t>
            </w:r>
            <w:r w:rsidR="001F4B09" w:rsidRPr="0025756C">
              <w:rPr>
                <w:sz w:val="16"/>
                <w:szCs w:val="16"/>
                <w:lang w:eastAsia="sk-SK"/>
              </w:rPr>
              <w:t>ýstup</w:t>
            </w:r>
            <w:r w:rsidRPr="0025756C">
              <w:rPr>
                <w:sz w:val="16"/>
                <w:szCs w:val="16"/>
                <w:lang w:eastAsia="sk-SK"/>
              </w:rPr>
              <w:t xml:space="preserve"> je vhodný pre predmet komunitné ošetrovateľstvo</w:t>
            </w:r>
            <w:r w:rsidR="001F4B09" w:rsidRPr="0025756C">
              <w:rPr>
                <w:sz w:val="16"/>
                <w:szCs w:val="16"/>
                <w:lang w:eastAsia="sk-SK"/>
              </w:rPr>
              <w:t xml:space="preserve"> ako prax založená na dôkazoch, pri identifikácii a zvládaní chronických stavov u ľudí bez domova. Na príklade skríningu hypertenzie v </w:t>
            </w:r>
            <w:proofErr w:type="spellStart"/>
            <w:r w:rsidR="001F4B09" w:rsidRPr="0025756C">
              <w:rPr>
                <w:sz w:val="16"/>
                <w:szCs w:val="16"/>
                <w:lang w:eastAsia="sk-SK"/>
              </w:rPr>
              <w:t>nízkoprahovom</w:t>
            </w:r>
            <w:proofErr w:type="spellEnd"/>
            <w:r w:rsidR="001F4B09" w:rsidRPr="0025756C">
              <w:rPr>
                <w:sz w:val="16"/>
                <w:szCs w:val="16"/>
                <w:lang w:eastAsia="sk-SK"/>
              </w:rPr>
              <w:t xml:space="preserve"> centre „Oáza – nádej pre nový život“ v </w:t>
            </w:r>
            <w:proofErr w:type="spellStart"/>
            <w:r w:rsidR="001F4B09" w:rsidRPr="0025756C">
              <w:rPr>
                <w:sz w:val="16"/>
                <w:szCs w:val="16"/>
                <w:lang w:eastAsia="sk-SK"/>
              </w:rPr>
              <w:t>Bernatovciach</w:t>
            </w:r>
            <w:proofErr w:type="spellEnd"/>
            <w:r w:rsidR="001F4B09" w:rsidRPr="0025756C">
              <w:rPr>
                <w:sz w:val="16"/>
                <w:szCs w:val="16"/>
                <w:lang w:eastAsia="sk-SK"/>
              </w:rPr>
              <w:t xml:space="preserve"> na Slovensku zdôrazňuje zvýšenú zraniteľnosť tejto populácie v dôsledku pandémie COVID-19. Komunitné ošetrovateľstvo s multidisciplinárnym prístupom sa javí ako efektívny nástroj na zlepšenie zdravia a kvality života ľudí bez domova. Tento prístup by mal zahŕňať nielen liečbu a manažment chorôb, ale aj podporu psychosociálnej pohody a zlepšenie životných podmienok. Zlepšenie zdravia a kvality života  tejto populácie by v konečnom dôsledku prispelo k skvalitneniu zdravia celej populácie.</w:t>
            </w:r>
            <w:r w:rsidR="001F4B09">
              <w:rPr>
                <w:i/>
                <w:iCs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article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discusses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significance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community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nursing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an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evidence-based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approach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identifying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managing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chronic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conditions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among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homeless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individuals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Using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example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screening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hypertension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low-threshold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center "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Oasis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Hope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 New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Life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" in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Bernatovce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, Slovakia,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emphasizes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increased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vulnerability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this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population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due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pandemic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.</w:t>
            </w:r>
            <w:r w:rsid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Community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nursing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with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multidisciplinary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approach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appears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be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an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effective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tool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improving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health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quality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life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homeless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individuals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This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approach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should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encompass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not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only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disease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treatment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and management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but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also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support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psychosocial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well-</w:t>
            </w:r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lastRenderedPageBreak/>
              <w:t>being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improvement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living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conditions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Enhancing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health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this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population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would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ultimately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contribute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improving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overall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health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quality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entire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society.</w:t>
            </w:r>
            <w:r w:rsid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results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this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analysis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highlight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need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investments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community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nursing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strengthening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its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capacities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support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health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well-being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homeless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individuals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Such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measures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could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lead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significant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improvements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health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status of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this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vulnerable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population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and a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reduction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their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health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disparities</w:t>
            </w:r>
            <w:proofErr w:type="spellEnd"/>
            <w:r w:rsidR="001F4B09" w:rsidRPr="001F4B09">
              <w:rPr>
                <w:i/>
                <w:iCs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0549EF5" w14:textId="77777777" w:rsidR="00DC4B73" w:rsidRPr="00DA1CE4" w:rsidRDefault="00DC4B73" w:rsidP="00DC4B7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82F9D" w14:textId="77777777" w:rsidR="00B87623" w:rsidRDefault="00B87623">
      <w:pPr>
        <w:spacing w:line="240" w:lineRule="auto"/>
      </w:pPr>
      <w:r>
        <w:separator/>
      </w:r>
    </w:p>
  </w:endnote>
  <w:endnote w:type="continuationSeparator" w:id="0">
    <w:p w14:paraId="17C6B3FE" w14:textId="77777777" w:rsidR="00B87623" w:rsidRDefault="00B876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A0083" w14:textId="77777777" w:rsidR="00B87623" w:rsidRDefault="00B87623">
      <w:pPr>
        <w:spacing w:after="0"/>
      </w:pPr>
      <w:r>
        <w:separator/>
      </w:r>
    </w:p>
  </w:footnote>
  <w:footnote w:type="continuationSeparator" w:id="0">
    <w:p w14:paraId="17C3C8FB" w14:textId="77777777" w:rsidR="00B87623" w:rsidRDefault="00B876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F3606"/>
    <w:multiLevelType w:val="hybridMultilevel"/>
    <w:tmpl w:val="FACAE1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015373">
    <w:abstractNumId w:val="0"/>
  </w:num>
  <w:num w:numId="2" w16cid:durableId="162862195">
    <w:abstractNumId w:val="1"/>
  </w:num>
  <w:num w:numId="3" w16cid:durableId="1310475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27D8"/>
    <w:rsid w:val="000353CE"/>
    <w:rsid w:val="00042231"/>
    <w:rsid w:val="00047BF6"/>
    <w:rsid w:val="00056CA0"/>
    <w:rsid w:val="00057300"/>
    <w:rsid w:val="00077B48"/>
    <w:rsid w:val="00081060"/>
    <w:rsid w:val="000819FC"/>
    <w:rsid w:val="00084CF8"/>
    <w:rsid w:val="00087A50"/>
    <w:rsid w:val="000904A6"/>
    <w:rsid w:val="00096BE7"/>
    <w:rsid w:val="000A0CFA"/>
    <w:rsid w:val="000A6197"/>
    <w:rsid w:val="000C3455"/>
    <w:rsid w:val="000C6681"/>
    <w:rsid w:val="000D64E2"/>
    <w:rsid w:val="000D672A"/>
    <w:rsid w:val="000E0935"/>
    <w:rsid w:val="000E3294"/>
    <w:rsid w:val="000E5F13"/>
    <w:rsid w:val="000F2EF8"/>
    <w:rsid w:val="000F583F"/>
    <w:rsid w:val="00103D99"/>
    <w:rsid w:val="0010663B"/>
    <w:rsid w:val="00110C3A"/>
    <w:rsid w:val="00114DE7"/>
    <w:rsid w:val="001200EA"/>
    <w:rsid w:val="00144266"/>
    <w:rsid w:val="00152BC1"/>
    <w:rsid w:val="001600D3"/>
    <w:rsid w:val="00160461"/>
    <w:rsid w:val="00163E54"/>
    <w:rsid w:val="00166BA0"/>
    <w:rsid w:val="00167A33"/>
    <w:rsid w:val="00175070"/>
    <w:rsid w:val="001775D7"/>
    <w:rsid w:val="001848DF"/>
    <w:rsid w:val="00190A9C"/>
    <w:rsid w:val="001944EC"/>
    <w:rsid w:val="001D0419"/>
    <w:rsid w:val="001D1B2B"/>
    <w:rsid w:val="001D5800"/>
    <w:rsid w:val="001F2B01"/>
    <w:rsid w:val="001F4B09"/>
    <w:rsid w:val="001F79A5"/>
    <w:rsid w:val="00202EF2"/>
    <w:rsid w:val="00203C43"/>
    <w:rsid w:val="00210ACE"/>
    <w:rsid w:val="00211BB7"/>
    <w:rsid w:val="0022598B"/>
    <w:rsid w:val="0023661A"/>
    <w:rsid w:val="00245053"/>
    <w:rsid w:val="00247030"/>
    <w:rsid w:val="00247A8A"/>
    <w:rsid w:val="00251046"/>
    <w:rsid w:val="002553C4"/>
    <w:rsid w:val="0025756C"/>
    <w:rsid w:val="00272B34"/>
    <w:rsid w:val="00273969"/>
    <w:rsid w:val="002835F8"/>
    <w:rsid w:val="00292461"/>
    <w:rsid w:val="002A74E7"/>
    <w:rsid w:val="002B7D48"/>
    <w:rsid w:val="002E26CF"/>
    <w:rsid w:val="003008C0"/>
    <w:rsid w:val="00303940"/>
    <w:rsid w:val="00326F8D"/>
    <w:rsid w:val="00331302"/>
    <w:rsid w:val="00335EC1"/>
    <w:rsid w:val="003605AB"/>
    <w:rsid w:val="00373997"/>
    <w:rsid w:val="003839A4"/>
    <w:rsid w:val="003D0A9F"/>
    <w:rsid w:val="003D2FE0"/>
    <w:rsid w:val="003D6E5F"/>
    <w:rsid w:val="003E69E0"/>
    <w:rsid w:val="0040091F"/>
    <w:rsid w:val="004024D4"/>
    <w:rsid w:val="004164B0"/>
    <w:rsid w:val="00430CA4"/>
    <w:rsid w:val="00445BC3"/>
    <w:rsid w:val="0045186D"/>
    <w:rsid w:val="0045671A"/>
    <w:rsid w:val="00465328"/>
    <w:rsid w:val="004737EA"/>
    <w:rsid w:val="00486237"/>
    <w:rsid w:val="00494BE4"/>
    <w:rsid w:val="004951B1"/>
    <w:rsid w:val="004A64E6"/>
    <w:rsid w:val="004B039C"/>
    <w:rsid w:val="004C0ADE"/>
    <w:rsid w:val="004D6031"/>
    <w:rsid w:val="004E086B"/>
    <w:rsid w:val="004E7748"/>
    <w:rsid w:val="004F1DA9"/>
    <w:rsid w:val="005008CF"/>
    <w:rsid w:val="005040DB"/>
    <w:rsid w:val="00521676"/>
    <w:rsid w:val="00526FE0"/>
    <w:rsid w:val="005343F7"/>
    <w:rsid w:val="00537E4B"/>
    <w:rsid w:val="00541E21"/>
    <w:rsid w:val="005432ED"/>
    <w:rsid w:val="00543F4A"/>
    <w:rsid w:val="005523E6"/>
    <w:rsid w:val="005637FA"/>
    <w:rsid w:val="00564881"/>
    <w:rsid w:val="00570DDB"/>
    <w:rsid w:val="00571934"/>
    <w:rsid w:val="0057311F"/>
    <w:rsid w:val="00573EA5"/>
    <w:rsid w:val="00594CF4"/>
    <w:rsid w:val="005A1BA2"/>
    <w:rsid w:val="005C3DFF"/>
    <w:rsid w:val="005C4FE3"/>
    <w:rsid w:val="005D04A4"/>
    <w:rsid w:val="005E491D"/>
    <w:rsid w:val="00610ADD"/>
    <w:rsid w:val="00622FD1"/>
    <w:rsid w:val="00625D24"/>
    <w:rsid w:val="00627881"/>
    <w:rsid w:val="00634037"/>
    <w:rsid w:val="006364CB"/>
    <w:rsid w:val="00655442"/>
    <w:rsid w:val="0069452C"/>
    <w:rsid w:val="006A3559"/>
    <w:rsid w:val="006A3869"/>
    <w:rsid w:val="006A7C07"/>
    <w:rsid w:val="006B3221"/>
    <w:rsid w:val="006D3288"/>
    <w:rsid w:val="006D38B0"/>
    <w:rsid w:val="006E4C9F"/>
    <w:rsid w:val="0070419C"/>
    <w:rsid w:val="007110FE"/>
    <w:rsid w:val="00721A5C"/>
    <w:rsid w:val="00727248"/>
    <w:rsid w:val="0073261A"/>
    <w:rsid w:val="00752045"/>
    <w:rsid w:val="00761524"/>
    <w:rsid w:val="00764179"/>
    <w:rsid w:val="00767284"/>
    <w:rsid w:val="00787BE8"/>
    <w:rsid w:val="007A728C"/>
    <w:rsid w:val="007B4A80"/>
    <w:rsid w:val="007B6A26"/>
    <w:rsid w:val="007C7F4E"/>
    <w:rsid w:val="007E2B31"/>
    <w:rsid w:val="007E5432"/>
    <w:rsid w:val="007F1C12"/>
    <w:rsid w:val="007F3854"/>
    <w:rsid w:val="00806028"/>
    <w:rsid w:val="0081723B"/>
    <w:rsid w:val="008205D1"/>
    <w:rsid w:val="008236AA"/>
    <w:rsid w:val="00832A95"/>
    <w:rsid w:val="00843F6E"/>
    <w:rsid w:val="0084478A"/>
    <w:rsid w:val="0085315F"/>
    <w:rsid w:val="0085442E"/>
    <w:rsid w:val="0086296B"/>
    <w:rsid w:val="00865192"/>
    <w:rsid w:val="0087247E"/>
    <w:rsid w:val="0089747D"/>
    <w:rsid w:val="008A0F85"/>
    <w:rsid w:val="008A1182"/>
    <w:rsid w:val="008A5E3E"/>
    <w:rsid w:val="008C35A7"/>
    <w:rsid w:val="008C4C5D"/>
    <w:rsid w:val="008D570D"/>
    <w:rsid w:val="008E0E34"/>
    <w:rsid w:val="008E539A"/>
    <w:rsid w:val="008E64DE"/>
    <w:rsid w:val="008F3D58"/>
    <w:rsid w:val="00902BE9"/>
    <w:rsid w:val="009034E3"/>
    <w:rsid w:val="00920192"/>
    <w:rsid w:val="009270B7"/>
    <w:rsid w:val="00931805"/>
    <w:rsid w:val="00936DD7"/>
    <w:rsid w:val="009465DB"/>
    <w:rsid w:val="00947B46"/>
    <w:rsid w:val="00951B66"/>
    <w:rsid w:val="009549FD"/>
    <w:rsid w:val="0095722D"/>
    <w:rsid w:val="00957C9E"/>
    <w:rsid w:val="0098250B"/>
    <w:rsid w:val="00982A6C"/>
    <w:rsid w:val="00986A6B"/>
    <w:rsid w:val="0099416F"/>
    <w:rsid w:val="00996553"/>
    <w:rsid w:val="009A0418"/>
    <w:rsid w:val="009A5B2C"/>
    <w:rsid w:val="009B3A0F"/>
    <w:rsid w:val="009C5D91"/>
    <w:rsid w:val="009E3254"/>
    <w:rsid w:val="009E343B"/>
    <w:rsid w:val="009E5EA4"/>
    <w:rsid w:val="009F6473"/>
    <w:rsid w:val="009F6EB0"/>
    <w:rsid w:val="00A02ED9"/>
    <w:rsid w:val="00A13126"/>
    <w:rsid w:val="00A270E0"/>
    <w:rsid w:val="00A326BC"/>
    <w:rsid w:val="00A3790D"/>
    <w:rsid w:val="00A37B1B"/>
    <w:rsid w:val="00A46900"/>
    <w:rsid w:val="00A50607"/>
    <w:rsid w:val="00A52AA1"/>
    <w:rsid w:val="00A63CAB"/>
    <w:rsid w:val="00A64A37"/>
    <w:rsid w:val="00A655B1"/>
    <w:rsid w:val="00A67470"/>
    <w:rsid w:val="00A82015"/>
    <w:rsid w:val="00A90BAD"/>
    <w:rsid w:val="00A9327C"/>
    <w:rsid w:val="00AA5FD2"/>
    <w:rsid w:val="00AB2A66"/>
    <w:rsid w:val="00AB4E1E"/>
    <w:rsid w:val="00AC6007"/>
    <w:rsid w:val="00AD1964"/>
    <w:rsid w:val="00AE305F"/>
    <w:rsid w:val="00B029EA"/>
    <w:rsid w:val="00B12C03"/>
    <w:rsid w:val="00B20565"/>
    <w:rsid w:val="00B20B1E"/>
    <w:rsid w:val="00B20D30"/>
    <w:rsid w:val="00B35A03"/>
    <w:rsid w:val="00B4461E"/>
    <w:rsid w:val="00B45EF8"/>
    <w:rsid w:val="00B46660"/>
    <w:rsid w:val="00B634BC"/>
    <w:rsid w:val="00B67A32"/>
    <w:rsid w:val="00B80AF3"/>
    <w:rsid w:val="00B83A08"/>
    <w:rsid w:val="00B85E0C"/>
    <w:rsid w:val="00B87623"/>
    <w:rsid w:val="00B93582"/>
    <w:rsid w:val="00B9786E"/>
    <w:rsid w:val="00BA2A4C"/>
    <w:rsid w:val="00BA6B33"/>
    <w:rsid w:val="00BC4155"/>
    <w:rsid w:val="00BE6992"/>
    <w:rsid w:val="00BF2CE6"/>
    <w:rsid w:val="00BF43CB"/>
    <w:rsid w:val="00BF62BC"/>
    <w:rsid w:val="00C11B5C"/>
    <w:rsid w:val="00C4131A"/>
    <w:rsid w:val="00C44368"/>
    <w:rsid w:val="00C450FE"/>
    <w:rsid w:val="00C472E1"/>
    <w:rsid w:val="00C476A9"/>
    <w:rsid w:val="00C5297F"/>
    <w:rsid w:val="00C62FB6"/>
    <w:rsid w:val="00C6375D"/>
    <w:rsid w:val="00C63CE4"/>
    <w:rsid w:val="00C640BA"/>
    <w:rsid w:val="00C738E3"/>
    <w:rsid w:val="00C76CE2"/>
    <w:rsid w:val="00C8121B"/>
    <w:rsid w:val="00C817CE"/>
    <w:rsid w:val="00C96181"/>
    <w:rsid w:val="00CB1B73"/>
    <w:rsid w:val="00CB4624"/>
    <w:rsid w:val="00CC0F6C"/>
    <w:rsid w:val="00D07FE5"/>
    <w:rsid w:val="00D13103"/>
    <w:rsid w:val="00D1416B"/>
    <w:rsid w:val="00D15298"/>
    <w:rsid w:val="00D17789"/>
    <w:rsid w:val="00D2301A"/>
    <w:rsid w:val="00D43850"/>
    <w:rsid w:val="00D504A2"/>
    <w:rsid w:val="00D52F7F"/>
    <w:rsid w:val="00D57EF5"/>
    <w:rsid w:val="00D92C14"/>
    <w:rsid w:val="00DA1CE4"/>
    <w:rsid w:val="00DC4B73"/>
    <w:rsid w:val="00DC5450"/>
    <w:rsid w:val="00DD0D00"/>
    <w:rsid w:val="00DE1083"/>
    <w:rsid w:val="00DF6FC9"/>
    <w:rsid w:val="00E01987"/>
    <w:rsid w:val="00E10036"/>
    <w:rsid w:val="00E20168"/>
    <w:rsid w:val="00E247F6"/>
    <w:rsid w:val="00E31F65"/>
    <w:rsid w:val="00E358B7"/>
    <w:rsid w:val="00E36C68"/>
    <w:rsid w:val="00E443B6"/>
    <w:rsid w:val="00E5268E"/>
    <w:rsid w:val="00E52762"/>
    <w:rsid w:val="00E72401"/>
    <w:rsid w:val="00E77555"/>
    <w:rsid w:val="00E90A2F"/>
    <w:rsid w:val="00E92353"/>
    <w:rsid w:val="00E933B6"/>
    <w:rsid w:val="00E94192"/>
    <w:rsid w:val="00EA1552"/>
    <w:rsid w:val="00EC027D"/>
    <w:rsid w:val="00EC0585"/>
    <w:rsid w:val="00ED1EA2"/>
    <w:rsid w:val="00ED4C63"/>
    <w:rsid w:val="00ED7D17"/>
    <w:rsid w:val="00EF3213"/>
    <w:rsid w:val="00F14933"/>
    <w:rsid w:val="00F20161"/>
    <w:rsid w:val="00F21399"/>
    <w:rsid w:val="00F33F25"/>
    <w:rsid w:val="00F50643"/>
    <w:rsid w:val="00F51008"/>
    <w:rsid w:val="00F64C4D"/>
    <w:rsid w:val="00F66104"/>
    <w:rsid w:val="00F739FF"/>
    <w:rsid w:val="00F74D81"/>
    <w:rsid w:val="00F759EB"/>
    <w:rsid w:val="00F8529E"/>
    <w:rsid w:val="00F904EA"/>
    <w:rsid w:val="00F92A07"/>
    <w:rsid w:val="00F97C35"/>
    <w:rsid w:val="00FB0E27"/>
    <w:rsid w:val="00FC1E96"/>
    <w:rsid w:val="00FC3BE3"/>
    <w:rsid w:val="00FC7243"/>
    <w:rsid w:val="00FD1AC3"/>
    <w:rsid w:val="00FD1C80"/>
    <w:rsid w:val="00FD3954"/>
    <w:rsid w:val="00FE5930"/>
    <w:rsid w:val="00FF6B4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2E31BC79-0413-4346-A53F-F717D38B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7E5432"/>
    <w:pPr>
      <w:ind w:left="720"/>
      <w:contextualSpacing/>
    </w:p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7193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8700" TargetMode="External"/><Relationship Id="rId18" Type="http://schemas.openxmlformats.org/officeDocument/2006/relationships/hyperlink" Target="https://app.crepc.sk/?fn=detailBiblioForm&amp;sid=BD296F5EC48344733D9E97FAC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pesquisa.bvsalud.org/global-literature-on-novel-coronavirus-2019-ncov/resource/pt/covidwho-10894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www6.lekarsky.herba.sk/2020/285-lekarsky-obzor-11-2020/982-lekarsky-obzor-11-2020-obsah-lek-obz-11-2020-conten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1823</Words>
  <Characters>10392</Characters>
  <Application>Microsoft Office Word</Application>
  <DocSecurity>0</DocSecurity>
  <Lines>86</Lines>
  <Paragraphs>24</Paragraphs>
  <ScaleCrop>false</ScaleCrop>
  <Company/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Mária Jackulíková</cp:lastModifiedBy>
  <cp:revision>122</cp:revision>
  <dcterms:created xsi:type="dcterms:W3CDTF">2024-03-19T23:11:00Z</dcterms:created>
  <dcterms:modified xsi:type="dcterms:W3CDTF">2024-03-22T09:31:00Z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